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Website Terms and Conditions</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terms and conditions outline the rules and regulations that govern the use of the website. By accessing and using the website, you agree to comply with these terms and conditions.</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Eligibility</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use the website, you must be at least 18 years old or have the consent of a legal guardian. You must also have the legal capacity to enter into a contract.</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Use of the website</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may use the website for lawful purposes only. You may not use the website to engage in any illegal activity or to infringe on the rights of others.</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Intellectual property</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and its contents are protected by intellectual property laws, including copyright, trademark, and patent laws. You may not use or reproduce any content from the website without the express written consent of the owner.</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User-generated content</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submit any content to the website, you grant the owner a non-exclusive, royalty-free, perpetual, and irrevocable license to use, display, and reproduce that content.</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Disclaimer of warranties</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and its contents are provided "as is" without any warranties, express or implied. The owner does not guarantee the accuracy, completeness, or reliability of any content on the website.</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Limitation of liability</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owner will not be liable for any damages arising out of the use or inability to use the website, including but not limited to direct, indirect, incidental, punitive, and consequential damages.</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Indemnification</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agree to indemnify and hold harmless the owner from any claims, damages, or losses arising out of your use of the website or any breach of these terms and conditions.</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Governing law</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terms and conditions are governed by the laws of the United States and the state in which the owner is located.</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Modifications</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owner may modify these terms and conditions at any time without notice. Your continued use of the website after any such modifications constitutes your acceptance of the new terms and conditions.</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