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Manufacturing Agreements</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manufacturing agreement is a legal contract between a manufacturer and another party (e.g., supplier, distributor, or brand owner) outlining the terms and conditions for the manufacturing of goods.</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Parties</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identifies the manufacturer and the other party, clearly stating their roles and responsibilities.</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Scope of Agreement</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defines the scope of the manufacturing arrangement, specifying the goods to be manufactured and any specific requirements or specifications.</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Manufacturing Obligations</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outlines the manufacturing obligations of the manufacturer, including quality standards, production timelines, and any required certifications or regulatory compliance.</w:t>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Pricing and Payment</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addresses the pricing structure for manufacturing services, including unit costs, payment terms, and any additional costs or fees.</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Intellectual Property</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clarifies the ownership of intellectual property rights related to the manufacturing process, materials, or product designs.</w:t>
      </w:r>
    </w:p>
    <w:p w:rsidR="00000000" w:rsidDel="00000000" w:rsidP="00000000" w:rsidRDefault="00000000" w:rsidRPr="00000000" w14:paraId="0000001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Product Liability</w:t>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specifies the allocation of product liability between the manufacturer and the other party, addressing any indemnification or insurance requirements.</w:t>
      </w:r>
    </w:p>
    <w:p w:rsidR="00000000" w:rsidDel="00000000" w:rsidP="00000000" w:rsidRDefault="00000000" w:rsidRPr="00000000" w14:paraId="00000017">
      <w:pPr>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Confidentiality</w:t>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includes a confidentiality clause to protect any proprietary or confidential information shared between the parties during the manufacturing process.</w:t>
      </w:r>
    </w:p>
    <w:p w:rsidR="00000000" w:rsidDel="00000000" w:rsidP="00000000" w:rsidRDefault="00000000" w:rsidRPr="00000000" w14:paraId="0000001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Termination</w:t>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defines the circumstances under which either party may terminate the manufacturing agreement, including any notice periods or termination provisions.</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ind w:left="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Governing Law and Jurisdiction</w:t>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agreement specifies the governing law and jurisdiction that will apply in case of any disputes arising from the manufacturing agreement, and includes contact information for both parties in case of any questions or concerns.</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