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IT Support Terms and Conditions</w:t>
      </w:r>
    </w:p>
    <w:p w:rsidR="00000000" w:rsidDel="00000000" w:rsidP="00000000" w:rsidRDefault="00000000" w:rsidRPr="00000000" w14:paraId="00000002">
      <w:pPr>
        <w:ind w:left="720" w:firstLine="0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 support terms and conditions is a legal contract between the IT support provider and the client, outlining the terms and conditions of IT support services.</w:t>
      </w:r>
    </w:p>
    <w:p w:rsidR="00000000" w:rsidDel="00000000" w:rsidP="00000000" w:rsidRDefault="00000000" w:rsidRPr="00000000" w14:paraId="0000000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>
          <w:b w:val="1"/>
        </w:rPr>
      </w:pPr>
      <w:bookmarkStart w:colFirst="0" w:colLast="0" w:name="_bnnbqcqoycz2" w:id="0"/>
      <w:bookmarkEnd w:id="0"/>
      <w:r w:rsidDel="00000000" w:rsidR="00000000" w:rsidRPr="00000000">
        <w:rPr>
          <w:b w:val="1"/>
          <w:rtl w:val="0"/>
        </w:rPr>
        <w:t xml:space="preserve">Purpose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scope of IT support services to be provided and the obligations of both parties.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Services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specific IT support services to be provided, including any customization or integration with third-party services.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Service level agreements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service level agreements (SLAs), including response times, resolution times, and availability.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Payment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fees and payment terms associated with the IT support services.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User accounts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terms and conditions for creating and managing user accounts, including any restrictions on access.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Data protection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data protection and security measures taken by the IT support provider to protect client data.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Intellectual property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clarifies the ownership of any IT support tools and any associated intellectual property rights.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Termination</w:t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circumstances under which either party may terminate the agreement.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</w:t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governing law and jurisdiction of the agreement, and includes contact information for the IT support provider in case the client has any questions or concerns.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